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DC238" w14:textId="77777777" w:rsidR="00474A34" w:rsidRPr="0049195F" w:rsidRDefault="00474A34">
      <w:pPr>
        <w:jc w:val="center"/>
        <w:rPr>
          <w:b/>
          <w:smallCaps/>
          <w:sz w:val="22"/>
          <w:szCs w:val="22"/>
          <w:lang w:val="mk-MK"/>
        </w:rPr>
      </w:pPr>
    </w:p>
    <w:p w14:paraId="5D10E091" w14:textId="77777777" w:rsidR="00474A34" w:rsidRDefault="00AF28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1FCD9DF3" w14:textId="004D84C5" w:rsidR="008A04FA" w:rsidRDefault="009768F4">
      <w:pPr>
        <w:jc w:val="center"/>
        <w:rPr>
          <w:szCs w:val="22"/>
        </w:rPr>
      </w:pPr>
      <w:bookmarkStart w:id="0" w:name="_Hlk67635761"/>
      <w:r w:rsidRPr="009768F4">
        <w:rPr>
          <w:szCs w:val="22"/>
        </w:rPr>
        <w:t>Procurement of one electric combi minimum 8+1 seats and procurement of one utility electric vehicle with 5 seats for Bitola Municipality</w:t>
      </w:r>
    </w:p>
    <w:bookmarkEnd w:id="0"/>
    <w:p w14:paraId="18369DDC" w14:textId="56114E15" w:rsidR="008A04FA" w:rsidRDefault="00AF28E3">
      <w:pPr>
        <w:jc w:val="center"/>
        <w:rPr>
          <w:b/>
          <w:szCs w:val="22"/>
        </w:rPr>
      </w:pPr>
      <w:r>
        <w:rPr>
          <w:b/>
          <w:szCs w:val="22"/>
        </w:rPr>
        <w:t>Our ref:</w:t>
      </w:r>
      <w:r w:rsidR="008A04FA">
        <w:rPr>
          <w:b/>
          <w:szCs w:val="22"/>
        </w:rPr>
        <w:t xml:space="preserve"> </w:t>
      </w:r>
      <w:r w:rsidR="008A04FA" w:rsidRPr="008A04FA">
        <w:rPr>
          <w:b/>
          <w:szCs w:val="22"/>
        </w:rPr>
        <w:t>Green Inter-e-Mobility – CN1 – S.0 2.1 – SC 039 (08-25</w:t>
      </w:r>
      <w:r w:rsidR="004B6119">
        <w:rPr>
          <w:b/>
          <w:szCs w:val="22"/>
        </w:rPr>
        <w:t>8</w:t>
      </w:r>
      <w:r w:rsidR="008A04FA" w:rsidRPr="008A04FA">
        <w:rPr>
          <w:b/>
          <w:szCs w:val="22"/>
        </w:rPr>
        <w:t xml:space="preserve">/3)     </w:t>
      </w:r>
    </w:p>
    <w:p w14:paraId="389BEE4F" w14:textId="77777777" w:rsidR="00474A34" w:rsidRDefault="00474A34">
      <w:pPr>
        <w:jc w:val="center"/>
        <w:rPr>
          <w:b/>
          <w:smallCaps/>
          <w:sz w:val="22"/>
          <w:szCs w:val="22"/>
        </w:rPr>
      </w:pPr>
    </w:p>
    <w:p w14:paraId="2D1649A1" w14:textId="77777777" w:rsidR="008A04FA" w:rsidRDefault="00AF28E3">
      <w:pPr>
        <w:ind w:left="5103"/>
        <w:rPr>
          <w:sz w:val="22"/>
          <w:szCs w:val="22"/>
          <w:lang w:val="en-US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</w:p>
    <w:p w14:paraId="51120EDC" w14:textId="5BC55B6C" w:rsidR="00474A34" w:rsidRDefault="00AF28E3" w:rsidP="008A04FA">
      <w:pPr>
        <w:ind w:left="6543" w:firstLine="657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</w:t>
      </w:r>
      <w:r>
        <w:rPr>
          <w:sz w:val="22"/>
          <w:szCs w:val="22"/>
        </w:rPr>
        <w:t>Bitola,</w:t>
      </w:r>
      <w:r>
        <w:rPr>
          <w:sz w:val="22"/>
          <w:szCs w:val="22"/>
          <w:lang w:val="mk-MK"/>
        </w:rPr>
        <w:t xml:space="preserve"> </w:t>
      </w:r>
      <w:r w:rsidR="00726E6D">
        <w:rPr>
          <w:sz w:val="22"/>
          <w:szCs w:val="22"/>
          <w:lang w:val="mk-MK"/>
        </w:rPr>
        <w:t>1</w:t>
      </w:r>
      <w:r w:rsidR="00012E3F">
        <w:rPr>
          <w:sz w:val="22"/>
          <w:szCs w:val="22"/>
          <w:lang w:val="en-US"/>
        </w:rPr>
        <w:t>9</w:t>
      </w:r>
      <w:r w:rsidR="00726E6D">
        <w:rPr>
          <w:sz w:val="22"/>
          <w:szCs w:val="22"/>
          <w:lang w:val="mk-MK"/>
        </w:rPr>
        <w:t>.05</w:t>
      </w:r>
      <w:r>
        <w:rPr>
          <w:sz w:val="22"/>
          <w:szCs w:val="22"/>
          <w:lang w:val="mk-MK"/>
        </w:rPr>
        <w:t>.</w:t>
      </w:r>
      <w:r>
        <w:rPr>
          <w:sz w:val="22"/>
          <w:szCs w:val="22"/>
        </w:rPr>
        <w:t>202</w:t>
      </w:r>
      <w:r w:rsidR="008A04FA">
        <w:rPr>
          <w:sz w:val="22"/>
          <w:szCs w:val="22"/>
        </w:rPr>
        <w:t>1</w:t>
      </w:r>
    </w:p>
    <w:p w14:paraId="3CD0F6AC" w14:textId="77777777" w:rsidR="00474A34" w:rsidRDefault="00AF28E3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3793FBC7" w14:textId="77777777" w:rsidR="00474A34" w:rsidRDefault="00AF28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SUBJECT: INVITATION TO TENDER </w:t>
      </w:r>
    </w:p>
    <w:p w14:paraId="20D49CE2" w14:textId="27C1675A" w:rsidR="00474A34" w:rsidRDefault="004B6119" w:rsidP="00726E6D">
      <w:pPr>
        <w:ind w:firstLine="360"/>
        <w:jc w:val="center"/>
        <w:rPr>
          <w:szCs w:val="22"/>
        </w:rPr>
      </w:pPr>
      <w:r w:rsidRPr="004B6119">
        <w:rPr>
          <w:szCs w:val="22"/>
        </w:rPr>
        <w:t xml:space="preserve">Procurement of </w:t>
      </w:r>
      <w:r w:rsidR="00726E6D" w:rsidRPr="00726E6D">
        <w:rPr>
          <w:szCs w:val="22"/>
        </w:rPr>
        <w:t xml:space="preserve">one electric combi minimum 8+1 seats </w:t>
      </w:r>
      <w:r w:rsidR="00726E6D">
        <w:rPr>
          <w:szCs w:val="22"/>
          <w:lang w:val="en-US"/>
        </w:rPr>
        <w:t>and p</w:t>
      </w:r>
      <w:r w:rsidR="00726E6D" w:rsidRPr="00726E6D">
        <w:rPr>
          <w:szCs w:val="22"/>
        </w:rPr>
        <w:t>rocurement of one utility electric vehicle with 5 seats for Bitola Municipality</w:t>
      </w:r>
    </w:p>
    <w:p w14:paraId="09848387" w14:textId="77777777" w:rsidR="004B6119" w:rsidRDefault="004B6119">
      <w:pPr>
        <w:ind w:firstLine="360"/>
        <w:rPr>
          <w:sz w:val="22"/>
          <w:szCs w:val="22"/>
          <w:lang w:val="mk-MK"/>
        </w:rPr>
      </w:pPr>
    </w:p>
    <w:p w14:paraId="38158861" w14:textId="15BEB0C0" w:rsidR="0049195F" w:rsidRPr="0049195F" w:rsidRDefault="004B6119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Mak Autostar    str. Industriska no.2   1000 Skopje    office@makautostar.com.mk</w:t>
      </w:r>
    </w:p>
    <w:p w14:paraId="4DB9DFD7" w14:textId="4F8F7DE8" w:rsidR="0049195F" w:rsidRPr="0049195F" w:rsidRDefault="004B6119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Kia Motors   str. Pero Nakov no.25    1000 Skopje     sales@kiamotors.com.mk</w:t>
      </w:r>
    </w:p>
    <w:p w14:paraId="18278EC5" w14:textId="64598DD4" w:rsidR="0049195F" w:rsidRPr="0049195F" w:rsidRDefault="004B6119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Automakedonija Skopje    str. 16 Makedonska Brigada bb   1000 Skopje  kontakt@automakedonija.com.mk</w:t>
      </w:r>
    </w:p>
    <w:p w14:paraId="7ACE0B35" w14:textId="05561275" w:rsidR="0049195F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Porsche Macedonia      Bulevard Bosnia and Herzegovina no.4    1000 Skopje  </w:t>
      </w:r>
      <w:hyperlink r:id="rId9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office@porsche.com.mk</w:t>
        </w:r>
      </w:hyperlink>
      <w:r>
        <w:rPr>
          <w:rFonts w:ascii="Calibri" w:hAnsi="Calibri" w:cs="Calibri"/>
          <w:szCs w:val="22"/>
          <w:lang w:val="en-US" w:eastAsia="ar-SA"/>
        </w:rPr>
        <w:t xml:space="preserve">    sales@porsche.com.mk</w:t>
      </w:r>
    </w:p>
    <w:p w14:paraId="29DB383D" w14:textId="0BAA1102" w:rsidR="003D7CB1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Automotiv Group    str. Skupi no.14  1000 Skopje   </w:t>
      </w:r>
      <w:hyperlink r:id="rId10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info@renault.mk</w:t>
        </w:r>
      </w:hyperlink>
      <w:r>
        <w:rPr>
          <w:rFonts w:ascii="Calibri" w:hAnsi="Calibri" w:cs="Calibri"/>
          <w:szCs w:val="22"/>
          <w:lang w:val="en-US" w:eastAsia="ar-SA"/>
        </w:rPr>
        <w:t xml:space="preserve"> </w:t>
      </w:r>
      <w:hyperlink r:id="rId11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prodazba@renault.mk</w:t>
        </w:r>
      </w:hyperlink>
      <w:r>
        <w:rPr>
          <w:rFonts w:ascii="Calibri" w:hAnsi="Calibri" w:cs="Calibri"/>
          <w:szCs w:val="22"/>
          <w:lang w:val="en-US" w:eastAsia="ar-SA"/>
        </w:rPr>
        <w:t xml:space="preserve">   </w:t>
      </w:r>
      <w:hyperlink r:id="rId12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info@dacia.mk</w:t>
        </w:r>
      </w:hyperlink>
    </w:p>
    <w:p w14:paraId="390A3ADD" w14:textId="70F832E6" w:rsidR="00957677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Tojota Avto Centar      Bulevard 8 September no. 21    1000 Skopje  </w:t>
      </w:r>
      <w:hyperlink r:id="rId13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info@toyota.com.mk</w:t>
        </w:r>
      </w:hyperlink>
    </w:p>
    <w:p w14:paraId="12CD7050" w14:textId="0AF4D977" w:rsidR="003D7CB1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Honda Macedonia       Bulevard Ilinden no.138   1000 Skopje   </w:t>
      </w:r>
      <w:hyperlink r:id="rId14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salon.honda@makpetrol.com.mk</w:t>
        </w:r>
      </w:hyperlink>
    </w:p>
    <w:p w14:paraId="53A4959B" w14:textId="27AEB6F5" w:rsidR="008603FC" w:rsidRDefault="003D7CB1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Citroen Macedonia Avtonova Skopje     </w:t>
      </w:r>
      <w:r w:rsidR="008603FC">
        <w:rPr>
          <w:rFonts w:ascii="Calibri" w:hAnsi="Calibri" w:cs="Calibri"/>
          <w:szCs w:val="22"/>
          <w:lang w:val="en-US" w:eastAsia="ar-SA"/>
        </w:rPr>
        <w:t xml:space="preserve">str. Skupi no.8   1000 Skopje  </w:t>
      </w:r>
      <w:hyperlink r:id="rId15" w:history="1">
        <w:r w:rsidR="008603FC"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marketing@citroen.com.mk</w:t>
        </w:r>
      </w:hyperlink>
    </w:p>
    <w:p w14:paraId="2941165E" w14:textId="3454D0AA" w:rsidR="008603FC" w:rsidRDefault="008603FC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>E</w:t>
      </w:r>
      <w:r w:rsidR="00012E3F">
        <w:rPr>
          <w:rFonts w:ascii="Calibri" w:hAnsi="Calibri" w:cs="Calibri"/>
          <w:szCs w:val="22"/>
          <w:lang w:val="en-US" w:eastAsia="ar-SA"/>
        </w:rPr>
        <w:t>u</w:t>
      </w:r>
      <w:r>
        <w:rPr>
          <w:rFonts w:ascii="Calibri" w:hAnsi="Calibri" w:cs="Calibri"/>
          <w:szCs w:val="22"/>
          <w:lang w:val="en-US" w:eastAsia="ar-SA"/>
        </w:rPr>
        <w:t xml:space="preserve">roimpeks Skopje     Bulevard III Makedonska Brigada no. 72    1000 Skopje    </w:t>
      </w:r>
      <w:hyperlink r:id="rId16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euroimpex@euroimpex.com.mk</w:t>
        </w:r>
      </w:hyperlink>
    </w:p>
    <w:p w14:paraId="714AE979" w14:textId="70A78339" w:rsidR="008603FC" w:rsidRDefault="008603FC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 xml:space="preserve">Mida Grand Motors      Bulevard Bosnia and Herzegovina no.1   1000 Skopje  </w:t>
      </w:r>
      <w:hyperlink r:id="rId17" w:history="1">
        <w:r w:rsidRPr="00FB1368">
          <w:rPr>
            <w:rStyle w:val="Hyperlink"/>
            <w:rFonts w:ascii="Calibri" w:hAnsi="Calibri" w:cs="Calibri"/>
            <w:szCs w:val="22"/>
            <w:lang w:val="en-US" w:eastAsia="ar-SA"/>
          </w:rPr>
          <w:t>esiljanoski@ford.com.mk</w:t>
        </w:r>
      </w:hyperlink>
    </w:p>
    <w:p w14:paraId="3DB9AEB7" w14:textId="774F0987" w:rsidR="00570758" w:rsidRPr="00570758" w:rsidRDefault="00570758" w:rsidP="008603FC">
      <w:pPr>
        <w:suppressAutoHyphens/>
        <w:spacing w:line="360" w:lineRule="auto"/>
        <w:ind w:left="720"/>
        <w:rPr>
          <w:rFonts w:ascii="Calibri" w:hAnsi="Calibri" w:cs="Calibri"/>
          <w:szCs w:val="22"/>
          <w:lang w:val="en-US" w:eastAsia="ar-SA"/>
        </w:rPr>
      </w:pPr>
    </w:p>
    <w:p w14:paraId="4EED7270" w14:textId="19087C98" w:rsidR="00474A34" w:rsidRPr="00E53CAF" w:rsidRDefault="00AF28E3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sz w:val="22"/>
          <w:szCs w:val="22"/>
        </w:rPr>
        <w:t>ALL OTHER companies entities on the basis of public announcement of the contract.</w:t>
      </w:r>
    </w:p>
    <w:p w14:paraId="75A099CC" w14:textId="2D392B5C" w:rsidR="00E53CAF" w:rsidRPr="00E53CAF" w:rsidRDefault="00E53CAF" w:rsidP="00E53CAF">
      <w:pPr>
        <w:rPr>
          <w:rFonts w:ascii="Calibri" w:hAnsi="Calibri" w:cs="Calibri"/>
          <w:szCs w:val="22"/>
          <w:lang w:val="en-US" w:eastAsia="ar-SA"/>
        </w:rPr>
      </w:pPr>
    </w:p>
    <w:p w14:paraId="054132D4" w14:textId="3147B0A7" w:rsidR="00E53CAF" w:rsidRPr="00E53CAF" w:rsidRDefault="00E53CAF" w:rsidP="00E53CAF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E53CAF" w:rsidRPr="00E53CA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31F35" w14:textId="77777777" w:rsidR="001E7A77" w:rsidRDefault="00AF28E3">
      <w:r>
        <w:separator/>
      </w:r>
    </w:p>
  </w:endnote>
  <w:endnote w:type="continuationSeparator" w:id="0">
    <w:p w14:paraId="1B0639ED" w14:textId="77777777" w:rsidR="001E7A77" w:rsidRDefault="00AF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2139D" w14:textId="77777777" w:rsidR="00474A34" w:rsidRDefault="00AF28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8873D8A" w14:textId="77777777" w:rsidR="00474A34" w:rsidRDefault="00474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6D6" w14:textId="77777777" w:rsidR="00474A34" w:rsidRDefault="00AF28E3">
    <w:pPr>
      <w:jc w:val="center"/>
      <w:rPr>
        <w:rFonts w:cs="Arial"/>
        <w:sz w:val="16"/>
        <w:szCs w:val="16"/>
        <w:lang w:val="mk-MK"/>
      </w:rPr>
    </w:pPr>
    <w:bookmarkStart w:id="1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5A627F35" wp14:editId="0FB70B3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77566FF" w14:textId="77777777" w:rsidR="00474A34" w:rsidRDefault="00474A34"/>
  <w:p w14:paraId="5DFD03CD" w14:textId="77777777" w:rsidR="00474A34" w:rsidRDefault="00474A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1C6EF" w14:textId="77777777" w:rsidR="00474A34" w:rsidRDefault="00AF28E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45C9B942" w14:textId="77777777" w:rsidR="00474A34" w:rsidRDefault="00AF28E3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List of entities invited to submit the tender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C10A7" w14:textId="77777777" w:rsidR="001E7A77" w:rsidRDefault="00AF28E3">
      <w:r>
        <w:separator/>
      </w:r>
    </w:p>
  </w:footnote>
  <w:footnote w:type="continuationSeparator" w:id="0">
    <w:p w14:paraId="19A3CDDC" w14:textId="77777777" w:rsidR="001E7A77" w:rsidRDefault="00AF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85525" w14:textId="77777777" w:rsidR="00E53CAF" w:rsidRDefault="00E5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8B29E" w14:textId="77777777" w:rsidR="00474A34" w:rsidRDefault="00474A34">
    <w:pPr>
      <w:pStyle w:val="Header"/>
    </w:pPr>
  </w:p>
  <w:p w14:paraId="4019502F" w14:textId="77777777" w:rsidR="00474A34" w:rsidRDefault="00AF28E3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75B922E7" wp14:editId="5A7CED67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05AC816E" wp14:editId="45EE19D9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C4B96" w14:textId="77777777" w:rsidR="00474A34" w:rsidRDefault="00474A3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1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CE97E67"/>
    <w:multiLevelType w:val="multilevel"/>
    <w:tmpl w:val="6CE97E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2E3F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D7CB1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119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26E6D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03FC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6028"/>
    <w:rsid w:val="009706F3"/>
    <w:rsid w:val="00972A53"/>
    <w:rsid w:val="00974535"/>
    <w:rsid w:val="009768F4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4E1827E6"/>
    <w:rsid w:val="6AAB5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41D2F"/>
  <w15:docId w15:val="{7CDCED03-A631-45A1-B8B4-6722C959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character" w:styleId="CommentReference">
    <w:name w:val="annotation reference"/>
    <w:semiHidden/>
    <w:rPr>
      <w:sz w:val="16"/>
      <w:szCs w:val="1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FootnoteReference">
    <w:name w:val="footnote reference"/>
    <w:semiHidden/>
    <w:qFormat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rPr>
      <w:sz w:val="22"/>
    </w:rPr>
  </w:style>
  <w:style w:type="paragraph" w:customStyle="1" w:styleId="Char2">
    <w:name w:val="Char2"/>
    <w:basedOn w:val="Normal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link w:val="Header"/>
    <w:rPr>
      <w:rFonts w:ascii="Arial" w:hAnsi="Arial"/>
      <w:snapToGrid w:val="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91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info@toyota.com.mk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mailto:info@dacia.mk" TargetMode="External"/><Relationship Id="rId17" Type="http://schemas.openxmlformats.org/officeDocument/2006/relationships/hyperlink" Target="mailto:esiljanoski@ford.com.mk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euroimpex@euroimpex.com.mk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rodazba@renault.m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marketing@citroen.com.mk" TargetMode="External"/><Relationship Id="rId23" Type="http://schemas.openxmlformats.org/officeDocument/2006/relationships/footer" Target="footer3.xml"/><Relationship Id="rId10" Type="http://schemas.openxmlformats.org/officeDocument/2006/relationships/hyperlink" Target="mailto:info@renault.mk" TargetMode="External"/><Relationship Id="rId19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yperlink" Target="mailto:office@porsche.com.mk" TargetMode="External"/><Relationship Id="rId14" Type="http://schemas.openxmlformats.org/officeDocument/2006/relationships/hyperlink" Target="mailto:salon.honda@makpetrol.com.mk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2162A2-BA8C-4E8F-AD43-8E986573E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32</cp:revision>
  <cp:lastPrinted>2020-10-01T12:22:00Z</cp:lastPrinted>
  <dcterms:created xsi:type="dcterms:W3CDTF">2020-09-18T12:56:00Z</dcterms:created>
  <dcterms:modified xsi:type="dcterms:W3CDTF">2021-05-19T11:50:00Z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2057-11.2.0.9747</vt:lpwstr>
  </property>
</Properties>
</file>